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0" w:right="0" w:firstLine="0"/>
        <w:jc w:val="center"/>
        <w:spacing w:after="160" w:before="0" w:line="259"/>
        <w:rPr>
          <w:rFonts w:ascii="휴먼명조" w:eastAsia="휴먼명조" w:hAnsi="휴먼명조" w:cs="휴먼명조"/>
          <w:b/>
          <w:color w:val="203A7B"/>
          <w:sz w:val="36"/>
          <w:szCs w:val="32"/>
          <w:position w:val="0"/>
          <w:shd w:val="clear" w:color="auto" w:fill="auto"/>
          <w:spacing w:val="0"/>
        </w:rPr>
      </w:pPr>
      <w:r>
        <w:rPr>
          <w:rFonts w:ascii="휴먼명조" w:eastAsia="휴먼명조" w:hAnsi="휴먼명조" w:cs="휴먼명조"/>
          <w:b/>
          <w:color w:val="203A7B"/>
          <w:sz w:val="36"/>
          <w:szCs w:val="32"/>
          <w:position w:val="0"/>
          <w:shd w:val="clear" w:color="auto" w:fill="auto"/>
          <w:spacing w:val="0"/>
        </w:rPr>
        <w:t>Yangi yil bayramlar mobaynida karantinni kuchaytirish bo'yicha maxsus tadbirlar</w:t>
      </w:r>
    </w:p>
    <w:tbl>
      <w:tblPr>
        <w:tblLook w:val="04A0" w:firstRow="1" w:lastRow="0" w:firstColumn="1" w:lastColumn="0" w:noHBand="0" w:noVBand="1"/>
      </w:tblPr>
      <w:tblGrid>
        <w:gridCol w:w="2694"/>
        <w:gridCol w:w="7858"/>
      </w:tblGrid>
      <w:tr>
        <w:trPr>
          <w:jc w:val="center"/>
          <w:trHeight w:val="619" w:hRule="auto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b/>
                <w:color w:val="000000"/>
                <w:sz w:val="24"/>
                <w:position w:val="0"/>
                <w:shd w:val="clear" w:color="auto" w:fill="auto"/>
                <w:spacing w:val="0"/>
              </w:rPr>
              <w:t>Karantin muddati</w:t>
            </w:r>
          </w:p>
        </w:tc>
        <w:tc>
          <w:tcPr>
            <w:tcW w:w="7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24-dekabr 2020-yil soat 00:00 dan boshlab</w:t>
            </w:r>
          </w:p>
          <w:p>
            <w:pPr>
              <w:ind w:left="0" w:right="0" w:firstLine="0"/>
              <w:jc w:val="both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3-yanvar 2021-yil soat 23:59 gacha</w:t>
            </w:r>
          </w:p>
        </w:tc>
      </w:tr>
      <w:tr>
        <w:trPr>
          <w:jc w:val="center"/>
          <w:trHeight w:val="563" w:hRule="auto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b/>
                <w:color w:val="000000"/>
                <w:sz w:val="24"/>
                <w:position w:val="0"/>
                <w:shd w:val="clear" w:color="auto" w:fill="auto"/>
                <w:spacing w:val="0"/>
              </w:rPr>
              <w:t>Tegishli viloyatlar</w:t>
            </w:r>
          </w:p>
        </w:tc>
        <w:tc>
          <w:tcPr>
            <w:tcW w:w="7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Butun mamlakat bo'ylab</w:t>
            </w:r>
          </w:p>
        </w:tc>
      </w:tr>
      <w:tr>
        <w:trPr>
          <w:jc w:val="center"/>
          <w:trHeight w:val="619" w:hRule="auto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b/>
                <w:color w:val="000000"/>
                <w:sz w:val="24"/>
                <w:position w:val="0"/>
                <w:shd w:val="clear" w:color="auto" w:fill="auto"/>
                <w:spacing w:val="0"/>
              </w:rPr>
              <w:t>Qishki sport maydonlari</w:t>
            </w:r>
          </w:p>
        </w:tc>
        <w:tc>
          <w:tcPr>
            <w:tcW w:w="7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Konkida uchish, chang</w:t>
            </w:r>
            <w:r>
              <w:rPr>
                <w:rFonts w:ascii="맑은 고딕" w:eastAsia="맑은 고딕" w:hAnsi="맑은 고딕" w:cs="맑은 고딕"/>
                <w:color w:val="000000"/>
                <w:sz w:val="24"/>
                <w:position w:val="0"/>
                <w:shd w:val="clear" w:color="auto" w:fill="auto"/>
                <w:spacing w:val="0"/>
              </w:rPr>
              <w:t>’</w:t>
            </w: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i-chanada uchish maydonlarida yig</w:t>
            </w:r>
            <w:r>
              <w:rPr>
                <w:rFonts w:ascii="맑은 고딕" w:eastAsia="맑은 고딕" w:hAnsi="맑은 고딕" w:cs="맑은 고딕"/>
                <w:color w:val="000000"/>
                <w:sz w:val="24"/>
                <w:position w:val="0"/>
                <w:shd w:val="clear" w:color="auto" w:fill="auto"/>
                <w:spacing w:val="0"/>
              </w:rPr>
              <w:t>’</w:t>
            </w: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inlar va uchrashuvlar taqiqlanadi</w:t>
            </w:r>
          </w:p>
        </w:tc>
      </w:tr>
      <w:tr>
        <w:trPr>
          <w:jc w:val="center"/>
          <w:trHeight w:val="1178" w:hRule="auto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b/>
                <w:color w:val="000000"/>
                <w:sz w:val="24"/>
                <w:position w:val="0"/>
                <w:shd w:val="clear" w:color="auto" w:fill="auto"/>
                <w:spacing w:val="0"/>
              </w:rPr>
              <w:t>Mehmonxona va yotoqxonalar</w:t>
            </w:r>
          </w:p>
        </w:tc>
        <w:tc>
          <w:tcPr>
            <w:tcW w:w="7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-Xonalarni bron qilish uchun 50% chegara, chegaradan oshgan taqdirda xonani band etish taqiqlanadi</w:t>
            </w:r>
          </w:p>
          <w:p>
            <w:pPr>
              <w:ind w:left="0" w:right="0" w:firstLine="0"/>
              <w:jc w:val="both"/>
              <w:spacing w:after="0" w:before="0" w:line="312"/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-</w:t>
            </w:r>
            <w:r>
              <w:rPr>
                <w:rFonts w:ascii="휴먼명조" w:eastAsia="휴먼명조" w:hAnsi="휴먼명조" w:cs="휴먼명조"/>
                <w:color w:val="auto"/>
                <w:sz w:val="24"/>
                <w:position w:val="0"/>
                <w:shd w:val="clear" w:color="auto" w:fill="auto"/>
                <w:spacing w:val="0"/>
              </w:rPr>
              <w:t xml:space="preserve"> Oldindan bron etilgan xolda, bronni</w:t>
            </w: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 xml:space="preserve"> bekor qilish yoki to’lovni qaytarish amalga oshiriladi</w:t>
            </w:r>
          </w:p>
          <w:p>
            <w:pPr>
              <w:ind w:left="0" w:right="0" w:firstLine="0"/>
              <w:jc w:val="both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-Muassasa ichidagi tadbirlar va ziyofatlarni taqiqlash</w:t>
            </w:r>
          </w:p>
        </w:tc>
      </w:tr>
      <w:tr>
        <w:trPr>
          <w:jc w:val="center"/>
          <w:trHeight w:val="56" w:hRule="auto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rFonts w:ascii="맑은 고딕" w:eastAsia="맑은 고딕" w:hAnsi="맑은 고딕" w:cs="맑은 고딕"/>
                <w:color w:val="auto"/>
                <w:sz w:val="28"/>
                <w:position w:val="0"/>
                <w:shd w:val="clear" w:color="auto" w:fill="auto"/>
                <w:spacing w:val="0"/>
              </w:rPr>
            </w:pPr>
            <w:r>
              <w:rPr>
                <w:rFonts w:ascii="휴먼명조" w:eastAsia="휴먼명조" w:hAnsi="휴먼명조" w:cs="휴먼명조"/>
                <w:b/>
                <w:color w:val="000000"/>
                <w:sz w:val="24"/>
                <w:position w:val="0"/>
                <w:shd w:val="clear" w:color="auto" w:fill="auto"/>
                <w:spacing w:val="0"/>
              </w:rPr>
              <w:t>Ko'rgazmalar</w:t>
            </w:r>
          </w:p>
          <w:p>
            <w:pPr>
              <w:ind w:left="0" w:right="0" w:firstLine="0"/>
              <w:jc w:val="center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b/>
                <w:color w:val="000000"/>
                <w:sz w:val="24"/>
                <w:position w:val="0"/>
                <w:shd w:val="clear" w:color="auto" w:fill="auto"/>
                <w:spacing w:val="0"/>
              </w:rPr>
              <w:t>Milliy va jamoat bog'i</w:t>
            </w:r>
          </w:p>
        </w:tc>
        <w:tc>
          <w:tcPr>
            <w:tcW w:w="7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Yopish va mehmonlarga kirishni cheklash</w:t>
            </w:r>
          </w:p>
        </w:tc>
      </w:tr>
      <w:tr>
        <w:trPr>
          <w:jc w:val="center"/>
          <w:trHeight w:val="1234" w:hRule="auto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맑은 고딕" w:eastAsia="맑은 고딕" w:hAnsi="맑은 고딕" w:cs="맑은 고딕"/>
                <w:color w:val="auto"/>
                <w:sz w:val="28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휴먼명조" w:eastAsia="휴먼명조" w:hAnsi="휴먼명조" w:cs="휴먼명조" w:hint="default"/>
                <w:b/>
                <w:color w:val="000000"/>
                <w:sz w:val="24"/>
                <w:position w:val="0"/>
                <w:shd w:val="clear" w:color="auto" w:fill="auto"/>
                <w:spacing w:val="0"/>
              </w:rPr>
              <w:t>Do'konlar va yirik savdo markazlari</w:t>
            </w:r>
          </w:p>
        </w:tc>
        <w:tc>
          <w:tcPr>
            <w:tcW w:w="7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-Majburiy holda tan haroratini tekshirish</w:t>
            </w:r>
          </w:p>
          <w:p>
            <w:pPr>
              <w:ind w:left="0" w:right="0" w:firstLine="0"/>
              <w:jc w:val="both"/>
              <w:spacing w:after="0" w:before="0" w:line="312"/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-Namuna mahsulotlarni ta</w:t>
            </w:r>
            <w:r>
              <w:rPr>
                <w:rFonts w:ascii="맑은 고딕" w:eastAsia="맑은 고딕" w:hAnsi="맑은 고딕" w:cs="맑은 고딕"/>
                <w:color w:val="000000"/>
                <w:sz w:val="24"/>
                <w:position w:val="0"/>
                <w:shd w:val="clear" w:color="auto" w:fill="auto"/>
                <w:spacing w:val="0"/>
              </w:rPr>
              <w:t>’</w:t>
            </w: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tib ko'rish va ulardan foydalanishni taqiqlash va mehmon tadbirlarini to'xtatib qo'yish</w:t>
            </w:r>
          </w:p>
          <w:p>
            <w:pPr>
              <w:ind w:left="0" w:right="0" w:firstLine="0"/>
              <w:jc w:val="both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-Dam olish xonasidan foydalanishni taqiqlash</w:t>
            </w:r>
          </w:p>
        </w:tc>
      </w:tr>
      <w:tr>
        <w:trPr>
          <w:jc w:val="center"/>
          <w:trHeight w:val="927" w:hRule="auto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autoSpaceDE w:val="off"/>
              <w:autoSpaceDN w:val="off"/>
              <w:widowControl w:val="off"/>
              <w:wordWrap w:val="off"/>
              <w:jc w:val="center"/>
              <w:spacing w:after="0" w:before="0" w:line="312" w:lineRule="auto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 w:hint="default"/>
                <w:b/>
                <w:color w:val="000000"/>
                <w:sz w:val="24"/>
                <w:position w:val="0"/>
                <w:shd w:val="clear" w:color="auto" w:fill="auto"/>
                <w:spacing w:val="0"/>
              </w:rPr>
              <w:t>Diniy muassasalar</w:t>
            </w:r>
          </w:p>
        </w:tc>
        <w:tc>
          <w:tcPr>
            <w:tcW w:w="7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Yuzma-yuz muloqotni cheklash qoidasiga rioya qilish, uchrashuvlar va birga ovqatlanishni taqiqlash</w:t>
            </w:r>
          </w:p>
        </w:tc>
      </w:tr>
      <w:tr>
        <w:trPr>
          <w:jc w:val="center"/>
          <w:trHeight w:val="927" w:hRule="auto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b/>
                <w:color w:val="000000"/>
                <w:sz w:val="24"/>
                <w:position w:val="0"/>
                <w:shd w:val="clear" w:color="auto" w:fill="auto"/>
                <w:spacing w:val="0"/>
              </w:rPr>
              <w:t>Restoran va oshxonalar</w:t>
            </w:r>
          </w:p>
        </w:tc>
        <w:tc>
          <w:tcPr>
            <w:tcW w:w="7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5 kishidan ortiq odamlar bilan uchrashuvlar o'tkazilmaydi</w:t>
            </w:r>
          </w:p>
          <w:p>
            <w:pPr>
              <w:ind w:left="0" w:right="0" w:firstLine="0"/>
              <w:jc w:val="both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Agar qoidabuzarlik bo'lsa, restoran egasi 3 million von (mehmon 100 000 von) jarimaga tortadi</w:t>
            </w:r>
          </w:p>
        </w:tc>
      </w:tr>
      <w:tr>
        <w:trPr>
          <w:jc w:val="center"/>
          <w:trHeight w:val="870" w:hRule="auto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b/>
                <w:color w:val="000000"/>
                <w:sz w:val="24"/>
                <w:position w:val="0"/>
                <w:shd w:val="clear" w:color="auto" w:fill="auto"/>
                <w:spacing w:val="0"/>
              </w:rPr>
              <w:t>Kinoteatrlar</w:t>
            </w:r>
          </w:p>
        </w:tc>
        <w:tc>
          <w:tcPr>
            <w:tcW w:w="7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Soat 21:00 dan ertasi kuni soat 17:00 gacha yopiladi</w:t>
            </w:r>
          </w:p>
          <w:p>
            <w:pPr>
              <w:ind w:left="0" w:right="0" w:firstLine="0"/>
              <w:jc w:val="both"/>
              <w:spacing w:after="0" w:before="0" w:line="312"/>
              <w:rPr>
                <w:position w:val="0"/>
                <w:spacing w:val="0"/>
              </w:rPr>
            </w:pP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Bitta o'rindiqni bo</w:t>
            </w:r>
            <w:r>
              <w:rPr>
                <w:rFonts w:ascii="맑은 고딕" w:eastAsia="맑은 고딕" w:hAnsi="맑은 고딕" w:cs="맑은 고딕"/>
                <w:color w:val="000000"/>
                <w:sz w:val="24"/>
                <w:position w:val="0"/>
                <w:shd w:val="clear" w:color="auto" w:fill="auto"/>
                <w:spacing w:val="0"/>
              </w:rPr>
              <w:t>’</w:t>
            </w:r>
            <w:r>
              <w:rPr>
                <w:rFonts w:ascii="휴먼명조" w:eastAsia="휴먼명조" w:hAnsi="휴먼명조" w:cs="휴먼명조"/>
                <w:color w:val="000000"/>
                <w:sz w:val="24"/>
                <w:position w:val="0"/>
                <w:shd w:val="clear" w:color="auto" w:fill="auto"/>
                <w:spacing w:val="0"/>
              </w:rPr>
              <w:t>sh qoldirish (konsertlarda ikkita bo'sh o'rindiq)</w:t>
            </w:r>
          </w:p>
        </w:tc>
      </w:tr>
    </w:tbl>
    <w:p>
      <w:pPr>
        <w:ind w:left="0" w:right="0" w:firstLine="0"/>
        <w:jc w:val="right"/>
        <w:spacing w:after="0" w:before="0" w:line="240"/>
        <w:rPr>
          <w:rFonts w:ascii="한컴산뜻돋움" w:eastAsia="한컴산뜻돋움" w:hAnsi="한컴산뜻돋움" w:cs="한컴산뜻돋움"/>
          <w:color w:val="000000"/>
          <w:sz w:val="20"/>
          <w:position w:val="0"/>
          <w:shd w:val="clear" w:color="auto" w:fill="auto"/>
          <w:spacing w:val="0"/>
        </w:rPr>
      </w:pPr>
    </w:p>
    <w:p>
      <w:pPr>
        <w:ind w:left="0" w:right="0" w:firstLine="0"/>
        <w:jc w:val="right"/>
        <w:spacing w:after="0" w:before="0" w:line="384"/>
        <w:rPr>
          <w:rFonts w:ascii="맑은 고딕" w:eastAsia="맑은 고딕" w:hAnsi="맑은 고딕" w:cs="맑은 고딕"/>
          <w:color w:val="auto"/>
          <w:sz w:val="24"/>
          <w:position w:val="0"/>
          <w:shd w:val="clear" w:color="auto" w:fill="auto"/>
          <w:spacing w:val="0"/>
        </w:rPr>
      </w:pPr>
      <w:r>
        <w:rPr>
          <w:lang w:eastAsia="ko-KR"/>
          <w:rFonts w:ascii="휴먼명조" w:eastAsia="휴먼명조" w:hAnsi="휴먼명조" w:cs="휴먼명조"/>
          <w:color w:val="000000"/>
          <w:sz w:val="24"/>
          <w:position w:val="0"/>
          <w:shd w:val="clear" w:color="auto" w:fill="auto"/>
          <w:spacing w:val="0"/>
          <w:rtl w:val="off"/>
        </w:rPr>
        <w:t>&lt;</w:t>
      </w:r>
      <w:r>
        <w:rPr>
          <w:rFonts w:ascii="휴먼명조" w:eastAsia="휴먼명조" w:hAnsi="휴먼명조" w:cs="휴먼명조"/>
          <w:color w:val="000000"/>
          <w:sz w:val="24"/>
          <w:position w:val="0"/>
          <w:shd w:val="clear" w:color="auto" w:fill="auto"/>
          <w:spacing w:val="0"/>
        </w:rPr>
        <w:t>Ushbu ma`lumotni Danuri</w:t>
      </w:r>
      <w:r>
        <w:rPr>
          <w:rFonts w:ascii="휴먼명조" w:eastAsia="휴먼명조" w:hAnsi="휴먼명조" w:cs="휴먼명조" w:hint="default"/>
          <w:color w:val="000000"/>
          <w:sz w:val="24"/>
          <w:position w:val="0"/>
          <w:shd w:val="clear" w:color="auto" w:fill="auto"/>
          <w:spacing w:val="0"/>
        </w:rPr>
        <w:t xml:space="preserve"> </w:t>
      </w:r>
      <w:r>
        <w:rPr>
          <w:rFonts w:ascii="휴먼명조" w:eastAsia="휴먼명조" w:hAnsi="휴먼명조" w:cs="휴먼명조" w:hint="default"/>
          <w:color w:val="000000"/>
          <w:sz w:val="24"/>
          <w:position w:val="0"/>
          <w:shd w:val="clear" w:color="auto" w:fill="auto"/>
          <w:spacing w:val="0"/>
        </w:rPr>
        <w:t>aloqa markaz</w:t>
      </w:r>
      <w:r>
        <w:rPr>
          <w:rFonts w:ascii="휴먼명조" w:eastAsia="휴먼명조" w:hAnsi="휴먼명조" w:cs="휴먼명조" w:hint="default"/>
          <w:color w:val="000000"/>
          <w:sz w:val="24"/>
          <w:position w:val="0"/>
          <w:shd w:val="clear" w:color="auto" w:fill="auto"/>
          <w:spacing w:val="0"/>
        </w:rPr>
        <w:t>i15</w:t>
      </w:r>
      <w:r>
        <w:rPr>
          <w:rFonts w:ascii="휴먼명조" w:eastAsia="휴먼명조" w:hAnsi="휴먼명조" w:cs="휴먼명조"/>
          <w:color w:val="000000"/>
          <w:sz w:val="24"/>
          <w:position w:val="0"/>
          <w:shd w:val="clear" w:color="auto" w:fill="auto"/>
          <w:spacing w:val="0"/>
        </w:rPr>
        <w:t>77-1366 tomonidan tarjima qilindi.</w:t>
      </w:r>
      <w:r>
        <w:rPr>
          <w:lang w:eastAsia="ko-KR"/>
          <w:rFonts w:ascii="휴먼명조" w:eastAsia="휴먼명조" w:hAnsi="휴먼명조" w:cs="휴먼명조"/>
          <w:color w:val="000000"/>
          <w:sz w:val="24"/>
          <w:position w:val="0"/>
          <w:shd w:val="clear" w:color="auto" w:fill="auto"/>
          <w:spacing w:val="0"/>
          <w:rtl w:val="off"/>
        </w:rPr>
        <w:t>&gt;</w:t>
      </w:r>
    </w:p>
    <w:sectPr>
      <w:pgSz w:w="11906" w:h="16838"/>
      <w:pgMar w:top="720" w:right="720" w:bottom="720" w:left="720" w:header="720" w:footer="720" w:gutter="0"/>
      <w:cols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휴먼명조">
    <w:notTrueType w:val="false"/>
  </w:font>
  <w:font w:name="맑은 고딕">
    <w:panose1 w:val="020B0503020000020004"/>
    <w:notTrueType w:val="false"/>
    <w:sig w:usb0="9000002F" w:usb1="29D77CFB" w:usb2="00000012" w:usb3="00000001" w:csb0="00080001" w:csb1="00000001"/>
  </w:font>
  <w:font w:name="한컴산뜻돋움">
    <w:panose1 w:val="02000000000000000000"/>
    <w:notTrueType w:val="false"/>
    <w:sig w:usb0="800002A7" w:usb1="39D7FCFB" w:usb2="00000014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70"/>
  <w:drawingGridVerticalSpacing w:val="170"/>
  <w:displayHorizontalDrawingGridEvery w:val="2"/>
  <w:displayVerticalDrawingGridEvery w:val="2"/>
  <w:characterSpacingControl w:val="doNotCompress"/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modified xsi:type="dcterms:W3CDTF">2020-12-24T04:27:14Z</dcterms:modified>
  <cp:version>1000.0100.01</cp:version>
</cp:coreProperties>
</file>