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wordWrap/>
        <w:snapToGrid w:val="0"/>
        <w:jc w:val="center"/>
        <w:spacing w:after="0" w:line="168" w:lineRule="auto"/>
        <w:textAlignment w:val="baseline"/>
        <w:rPr>
          <w:lang w:val="ru-RU"/>
          <w:rFonts w:ascii="맑은 고딕" w:eastAsia="맑은 고딕" w:hAnsi="맑은 고딕" w:cs="굴림"/>
          <w:b/>
          <w:bCs/>
          <w:color w:val="000000"/>
          <w:sz w:val="48"/>
          <w:szCs w:val="48"/>
          <w:kern w:val="0"/>
        </w:rPr>
      </w:pPr>
      <w:r>
        <w:rPr>
          <w:lang w:val="ru-RU"/>
          <w:rFonts w:ascii="맑은 고딕" w:eastAsia="맑은 고딕" w:hAnsi="맑은 고딕" w:cs="굴림"/>
          <w:b/>
          <w:bCs/>
          <w:color w:val="000000"/>
          <w:sz w:val="48"/>
          <w:szCs w:val="48"/>
          <w:kern w:val="0"/>
        </w:rPr>
        <w:t xml:space="preserve">Социальное дистанцирование в столичном регионе </w:t>
      </w:r>
      <w:r>
        <w:rPr>
          <w:lang w:val="ru-RU"/>
          <w:rFonts w:ascii="맑은 고딕" w:eastAsia="맑은 고딕" w:hAnsi="맑은 고딕" w:cs="굴림"/>
          <w:b/>
          <w:bCs/>
          <w:color w:val="000000"/>
          <w:sz w:val="48"/>
          <w:szCs w:val="48"/>
          <w:kern w:val="0"/>
        </w:rPr>
        <w:t>снижено</w:t>
      </w:r>
      <w:r>
        <w:rPr>
          <w:lang w:val="ru-RU"/>
          <w:rFonts w:ascii="맑은 고딕" w:eastAsia="맑은 고딕" w:hAnsi="맑은 고딕" w:cs="굴림"/>
          <w:b/>
          <w:bCs/>
          <w:color w:val="000000"/>
          <w:sz w:val="48"/>
          <w:szCs w:val="48"/>
          <w:kern w:val="0"/>
        </w:rPr>
        <w:t xml:space="preserve"> до 2-го уровня, вне столичного региона до 1,5-го уровня</w:t>
      </w:r>
    </w:p>
    <w:p>
      <w:pPr>
        <w:ind w:firstLine="0"/>
        <w:wordWrap/>
        <w:snapToGrid w:val="0"/>
        <w:jc w:val="center"/>
        <w:spacing w:after="0" w:line="168" w:lineRule="auto"/>
        <w:textAlignment w:val="baseline"/>
        <w:rPr>
          <w:lang w:val="ru-RU"/>
          <w:rFonts w:ascii="맑은 고딕" w:eastAsia="맑은 고딕" w:hAnsi="맑은 고딕" w:cs="굴림"/>
          <w:b/>
          <w:bCs/>
          <w:color w:val="FF0000"/>
          <w:sz w:val="48"/>
          <w:szCs w:val="48"/>
          <w:kern w:val="0"/>
        </w:rPr>
      </w:pPr>
      <w:r>
        <w:rPr>
          <w:lang w:val="ru-RU"/>
          <w:rFonts w:ascii="맑은 고딕" w:eastAsia="맑은 고딕" w:hAnsi="맑은 고딕" w:cs="굴림"/>
          <w:b/>
          <w:bCs/>
          <w:color w:val="000000"/>
          <w:sz w:val="48"/>
          <w:szCs w:val="48"/>
          <w:kern w:val="0"/>
        </w:rPr>
        <w:t>(с 15 февраля до 28 февраля)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9"/>
        <w:gridCol w:w="2805"/>
        <w:gridCol w:w="3516"/>
      </w:tblGrid>
      <w:tr>
        <w:trPr>
          <w:trHeight w:val="430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Установленный регламент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Столичный регион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2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-й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уровень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Вне столичного региона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 xml:space="preserve">1,5 </w:t>
            </w:r>
            <w:r>
              <w:rPr>
                <w:lang w:val="ru-RU"/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уровень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</w:p>
        </w:tc>
      </w:tr>
      <w:tr>
        <w:trPr>
          <w:trHeight w:val="2149" w:hRule="atLeast"/>
        </w:trPr>
        <w:tc>
          <w:tcPr>
            <w:tcW w:w="4449" w:type="dxa"/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30"/>
                <w:szCs w:val="3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Запрет на частные встречи и мероприятия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от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5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человек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и более </w:t>
            </w:r>
          </w:p>
        </w:tc>
        <w:tc>
          <w:tcPr>
            <w:tcW w:w="6321" w:type="dxa"/>
            <w:gridSpan w:val="2"/>
            <w:tcBorders>
              <w:top w:val="thinThick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Cambria Math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Запрет на регистрацию брони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,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массовое посещение ресторанов и мест общего пользования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от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5ти и более человек одновременно.</w:t>
            </w:r>
          </w:p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- </w:t>
            </w:r>
            <w:r>
              <w:rPr>
                <w:lang w:val="ru-RU"/>
                <w:rFonts w:asciiTheme="majorHAnsi" w:eastAsiaTheme="majorHAnsi" w:hAnsiTheme="majorHAnsi" w:cs="Times New Roman"/>
                <w:b/>
                <w:bCs/>
                <w:color w:val="000000"/>
                <w:sz w:val="26"/>
                <w:szCs w:val="26"/>
                <w:kern w:val="0"/>
              </w:rPr>
              <w:t>(и</w:t>
            </w:r>
            <w:r>
              <w:rPr>
                <w:lang w:val="ru-RU"/>
                <w:rFonts w:asciiTheme="majorHAnsi" w:eastAsiaTheme="majorHAnsi" w:hAnsiTheme="majorHAnsi" w:cs="Times New Roman"/>
                <w:b/>
                <w:bCs/>
                <w:color w:val="000000"/>
                <w:sz w:val="26"/>
                <w:szCs w:val="26"/>
                <w:kern w:val="0"/>
              </w:rPr>
              <w:t>сключение</w:t>
            </w:r>
            <w:r>
              <w:rPr>
                <w:lang w:val="ru-RU"/>
                <w:rFonts w:asciiTheme="majorHAnsi" w:eastAsiaTheme="majorHAnsi" w:hAnsiTheme="majorHAnsi" w:cs="Times New Roman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встречи с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прямы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ми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родственник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ами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для сопровождающих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детей, пожилых людей, инвалидов,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нуждающихся в постоянном присмотре, для членов семей, посетивших родственника, находящегося при смерти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</w:p>
        </w:tc>
      </w:tr>
      <w:tr>
        <w:trPr>
          <w:trHeight w:val="768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Кинотеатры, компьютерные клубы, игровые центры, частные учебные заведения, читальные залы, парки развлечений, салоны красоты, гипермаркеты.</w:t>
            </w:r>
          </w:p>
        </w:tc>
        <w:tc>
          <w:tcPr>
            <w:tcW w:w="6321" w:type="dxa"/>
            <w:gridSpan w:val="2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MS Gothic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MS Gothic"/>
                <w:color w:val="000000"/>
                <w:sz w:val="26"/>
                <w:szCs w:val="26"/>
                <w:kern w:val="0"/>
              </w:rPr>
              <w:t>Сняты</w:t>
            </w:r>
            <w:r>
              <w:rPr>
                <w:lang w:val="ru-RU"/>
                <w:rFonts w:asciiTheme="majorHAnsi" w:eastAsiaTheme="majorHAnsi" w:hAnsiTheme="majorHAnsi" w:cs="MS Gothic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MS Gothic"/>
                <w:color w:val="000000"/>
                <w:sz w:val="26"/>
                <w:szCs w:val="26"/>
                <w:kern w:val="0"/>
              </w:rPr>
              <w:t>о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гра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н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ичения на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деятельность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.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 </w:t>
            </w:r>
          </w:p>
        </w:tc>
      </w:tr>
      <w:tr>
        <w:trPr>
          <w:trHeight w:val="486" w:hRule="atLeast"/>
        </w:trPr>
        <w:tc>
          <w:tcPr>
            <w:tcW w:w="4449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color w:val="000000"/>
                <w:sz w:val="30"/>
                <w:szCs w:val="30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Частные учебные заведения, учебные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к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урсы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за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исключение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м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 читальны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х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 зал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ов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)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, учреждения для проф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подготовки и практических занятий.</w:t>
            </w:r>
          </w:p>
        </w:tc>
        <w:tc>
          <w:tcPr>
            <w:tcW w:w="632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Один человек на 4</w:t>
            </w:r>
            <w:r>
              <w:rPr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㎡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площади или размещение с интервалом в одно свободное место.</w:t>
            </w:r>
          </w:p>
        </w:tc>
      </w:tr>
      <w:tr>
        <w:trPr>
          <w:trHeight w:val="1106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Рестораны</w:t>
            </w:r>
            <w:r>
              <w:rPr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ㆍ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кафе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(прием пищи запрещен), спортивные залы, караоке бары, залы для вечеринок, закрытые сценические залы, прямые продажи с посещением на дому.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Огра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н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ичения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на предоставление услуг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(до 22:00)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Сняты ограничения по времени работы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.</w:t>
            </w:r>
          </w:p>
          <w:p>
            <w:pPr>
              <w:ind w:left="6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  <w:spacing w:val="-4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※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Прямые продажи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 xml:space="preserve"> с посещением на дом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до 22:00</w:t>
            </w:r>
          </w:p>
        </w:tc>
      </w:tr>
      <w:tr>
        <w:trPr>
          <w:trHeight w:val="1106" w:hRule="atLeast"/>
        </w:trPr>
        <w:tc>
          <w:tcPr>
            <w:tcW w:w="4449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 w:val="30"/>
                <w:szCs w:val="3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Рестораны</w:t>
            </w:r>
            <w:r>
              <w:rPr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ㆍ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кафе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>(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  <w:spacing w:val="-4"/>
              </w:rPr>
              <w:t xml:space="preserve">включая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автоматизированное кафе без персонала</w:t>
            </w:r>
            <w:r>
              <w:rPr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)</w:t>
            </w:r>
          </w:p>
        </w:tc>
        <w:tc>
          <w:tcPr>
            <w:tcW w:w="632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w w:val="105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w w:val="105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b/>
                <w:bCs/>
                <w:color w:val="000000"/>
                <w:w w:val="105"/>
                <w:sz w:val="26"/>
                <w:szCs w:val="26"/>
                <w:kern w:val="0"/>
              </w:rPr>
              <w:t>(строгое предупреждение)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w w:val="105"/>
                <w:sz w:val="26"/>
                <w:szCs w:val="26"/>
                <w:kern w:val="0"/>
              </w:rPr>
              <w:t xml:space="preserve"> Ограничить время посещения до одного часа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w w:val="105"/>
                <w:sz w:val="26"/>
                <w:szCs w:val="26"/>
                <w:kern w:val="0"/>
              </w:rPr>
              <w:t xml:space="preserve"> для групп из 2х и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w w:val="105"/>
                <w:sz w:val="26"/>
                <w:szCs w:val="26"/>
                <w:kern w:val="0"/>
              </w:rPr>
              <w:t>более человек, заказавших только кофе·напитки или 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w w:val="105"/>
                <w:sz w:val="26"/>
                <w:szCs w:val="26"/>
                <w:kern w:val="0"/>
              </w:rPr>
              <w:t>е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w w:val="105"/>
                <w:sz w:val="26"/>
                <w:szCs w:val="26"/>
                <w:kern w:val="0"/>
              </w:rPr>
              <w:t xml:space="preserve">серты. </w:t>
            </w:r>
          </w:p>
        </w:tc>
      </w:tr>
      <w:tr>
        <w:trPr>
          <w:trHeight w:val="748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Развлекательные учреждения     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6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-ти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видов</w:t>
            </w:r>
          </w:p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(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развлекательные клубы, караоке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-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бары,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бары с живой музыкой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,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 xml:space="preserve"> тематические бары,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бары для знакомств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</w:rPr>
              <w:t>карточные клубы)</w:t>
            </w:r>
          </w:p>
        </w:tc>
        <w:tc>
          <w:tcPr>
            <w:tcW w:w="632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Огра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н</w:t>
            </w:r>
            <w:r>
              <w:rPr>
                <w:lang w:val="ru-RU"/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</w:rPr>
              <w:t>ичения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по времени работы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(до 22:00, о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дин человек на 8</w:t>
            </w:r>
            <w:r>
              <w:rPr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㎡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площади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  <w:spacing w:val="-22"/>
              </w:rPr>
              <w:t>)</w:t>
            </w:r>
          </w:p>
        </w:tc>
      </w:tr>
      <w:tr>
        <w:trPr>
          <w:trHeight w:val="1445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Кинотеатры </w:t>
            </w:r>
            <w:r>
              <w:rPr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·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сценические залы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Размещение с интервалом в одно свободное место или интервал в одно свободное место за сопровождающим. 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Размещение с интервалом в одно свободное место, за исключением места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сопровождающего.</w:t>
            </w:r>
          </w:p>
        </w:tc>
      </w:tr>
      <w:tr>
        <w:trPr>
          <w:trHeight w:val="486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Посещение спортивных мероприятий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Ограничение количества зрителей до 10%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Ограничение количества зрителей до 30%</w:t>
            </w:r>
          </w:p>
        </w:tc>
      </w:tr>
      <w:tr>
        <w:trPr>
          <w:trHeight w:val="1450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Ограничения при проведении праздн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е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ств и мероприятий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(свадьбы, похороны)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Менее 100 человек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6"/>
                <w:szCs w:val="6"/>
                <w:kern w:val="0"/>
              </w:rPr>
            </w:pPr>
          </w:p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Для собраний свыше 500 человек необходима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регистрация и получение разрешения в местном отделении власти.</w:t>
            </w:r>
          </w:p>
          <w:p>
            <w:pPr>
              <w:ind w:firstLine="0"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w w:val="13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w w:val="130"/>
                <w:sz w:val="24"/>
                <w:szCs w:val="24"/>
                <w:kern w:val="0"/>
                <w:spacing w:val="-70"/>
              </w:rPr>
              <w:t>(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также, применимо при органи-заци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й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 xml:space="preserve"> митингов, демонстраций,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масштабных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концертов, фестивалей и академических мероприятий, насчитывающих менее 100 человек)</w:t>
            </w:r>
          </w:p>
        </w:tc>
      </w:tr>
      <w:tr>
        <w:trPr>
          <w:trHeight w:val="1060" w:hRule="atLeast"/>
        </w:trPr>
        <w:tc>
          <w:tcPr>
            <w:tcW w:w="4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Религи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озная деятельность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Регулярно проводимые богослужения и др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угие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мероприятия: число прихожан до 20%</w:t>
            </w:r>
          </w:p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※ собрания, обеды, совместное проживание запрещены.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MS Gothic" w:eastAsia="MS Gothic" w:hAnsi="MS Gothic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Регулярно проводимые богослужения и др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>угие</w:t>
            </w: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6"/>
                <w:szCs w:val="26"/>
                <w:kern w:val="0"/>
              </w:rPr>
              <w:t xml:space="preserve"> мероприятия: число прихожан до 30%</w:t>
            </w:r>
          </w:p>
          <w:p>
            <w:pPr>
              <w:ind w:left="0" w:firstLine="0"/>
              <w:wordWrap/>
              <w:snapToGrid w:val="0"/>
              <w:spacing w:after="0" w:line="168" w:lineRule="auto"/>
              <w:textAlignment w:val="baseline"/>
              <w:rPr>
                <w:lang w:val="ru-RU"/>
                <w:rFonts w:asciiTheme="majorHAnsi" w:eastAsiaTheme="majorHAnsi" w:hAnsiTheme="majorHAnsi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※ собрания, обеды, совместное проживание запрещены.</w:t>
            </w:r>
          </w:p>
        </w:tc>
      </w:tr>
    </w:tbl>
    <w:p>
      <w:pPr>
        <w:ind w:left="0" w:firstLine="0"/>
        <w:spacing w:after="0" w:line="168" w:lineRule="auto"/>
        <w:textAlignment w:val="baseline"/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</w:pP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-18"/>
        </w:rPr>
        <w:t>*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-18"/>
        </w:rPr>
        <w:t xml:space="preserve"> 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З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аведениям, нарушившим правила карантина, помимо штраф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ов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, будут применяться запреты на деятельность на 2 недели на основании административного приказа от местных органов власти.</w:t>
      </w:r>
    </w:p>
    <w:p>
      <w:pPr>
        <w:ind w:left="0" w:firstLine="0"/>
        <w:spacing w:after="0" w:line="168" w:lineRule="auto"/>
        <w:textAlignment w:val="baseline"/>
        <w:rPr>
          <w:lang w:val="ru-RU"/>
          <w:rFonts w:asciiTheme="majorHAnsi" w:eastAsiaTheme="majorHAnsi" w:hAnsiTheme="majorHAnsi" w:cs="Times New Roman"/>
          <w:b/>
          <w:color w:val="000000"/>
          <w:sz w:val="36"/>
          <w:szCs w:val="36"/>
          <w:kern w:val="0"/>
        </w:rPr>
      </w:pPr>
    </w:p>
    <w:p>
      <w:pPr>
        <w:ind w:left="0" w:firstLine="0"/>
        <w:wordWrap/>
        <w:snapToGrid w:val="0"/>
        <w:jc w:val="right"/>
        <w:spacing w:after="0" w:line="168" w:lineRule="auto"/>
        <w:textAlignment w:val="baseline"/>
        <w:rPr>
          <w:lang w:val="ru-RU"/>
          <w:rFonts w:asciiTheme="majorHAnsi" w:eastAsiaTheme="majorHAnsi" w:hAnsiTheme="majorHAnsi" w:cs="Times New Roman"/>
          <w:color w:val="000000"/>
          <w:sz w:val="28"/>
          <w:szCs w:val="28"/>
          <w:kern w:val="0"/>
        </w:rPr>
      </w:pP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&lt;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 xml:space="preserve"> 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 xml:space="preserve">Данный перевод 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предоставлен колл-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центром Данури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 xml:space="preserve"> 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1577-1366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 xml:space="preserve"> </w:t>
      </w:r>
      <w:r>
        <w:rPr>
          <w:lang w:val="ru-RU"/>
          <w:rFonts w:asciiTheme="majorHAnsi" w:eastAsiaTheme="majorHAnsi" w:hAnsiTheme="majorHAnsi" w:cs="Times New Roman"/>
          <w:b/>
          <w:bCs/>
          <w:color w:val="000000"/>
          <w:sz w:val="28"/>
          <w:szCs w:val="28"/>
          <w:kern w:val="0"/>
          <w:spacing w:val="2"/>
        </w:rPr>
        <w:t>&gt;</w:t>
      </w:r>
    </w:p>
    <w:p>
      <w:pPr>
        <w:ind w:firstLine="0"/>
        <w:spacing w:after="0" w:line="168" w:lineRule="auto"/>
        <w:rPr>
          <w:lang w:val="ru-RU"/>
          <w:rFonts w:asciiTheme="majorHAnsi" w:eastAsiaTheme="majorHAnsi" w:hAnsiTheme="majorHAnsi" w:cs="Times New Roman"/>
          <w:color w:val="000000"/>
        </w:rPr>
      </w:pPr>
    </w:p>
    <w:sect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87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styleId="a6">
    <w:name w:val="List Paragraph"/>
    <w:uiPriority w:val="52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2021-02-16T04:32:00Z</dcterms:created>
  <dcterms:modified xsi:type="dcterms:W3CDTF">2021-02-17T04:25:16Z</dcterms:modified>
  <cp:version>1000.0100.01</cp:version>
</cp:coreProperties>
</file>