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ascii="Times New Roman" w:eastAsiaTheme="minorHAnsi" w:hAnsi="Times New Roman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192" w:lineRule="auto"/>
              <w:textAlignment w:val="baseline"/>
              <w:rPr>
                <w:lang w:val="ru-RU"/>
                <w:rFonts w:ascii="Times New Roman" w:eastAsiaTheme="minorHAnsi" w:hAnsi="Times New Roman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Первый этап 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смягчения карантинных мер для 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>п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>остепенно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>го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возвращени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>я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к обычной повседневной жизни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(с 1 ноября </w:t>
            </w:r>
            <w:r>
              <w:rPr>
                <w:lang w:val="ru-RU"/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~</w:t>
            </w:r>
            <w:r>
              <w:rPr>
                <w:lang w:val="ru-RU"/>
                <w:rFonts w:ascii="Times New Roman" w:eastAsiaTheme="minorHAnsi" w:hAnsi="Times New Roman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lang w:val="ru-RU"/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wordWrap/>
        <w:spacing w:line="192" w:lineRule="auto"/>
        <w:rPr>
          <w:lang w:val="ru-RU"/>
          <w:rFonts w:eastAsiaTheme="minorHAnsi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c>
          <w:tcPr>
            <w:tcW w:w="10456" w:type="dxa"/>
            <w:gridSpan w:val="3"/>
            <w:shd w:val="clear" w:color="auto" w:fill="FFFF00"/>
          </w:tcPr>
          <w:p>
            <w:pPr>
              <w:wordWrap/>
              <w:jc w:val="center"/>
              <w:spacing w:line="192" w:lineRule="auto"/>
              <w:rPr>
                <w:lang w:val="ru-RU"/>
                <w:rFonts w:ascii="Times New Roman" w:eastAsiaTheme="minorHAnsi" w:hAnsi="Times New Roman" w:cs="Times New Roman"/>
                <w:color w:val="000000"/>
                <w:sz w:val="32"/>
                <w:szCs w:val="32"/>
              </w:rPr>
            </w:pPr>
            <w:r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</w:rPr>
              <w:t>О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</w:rPr>
              <w:t xml:space="preserve">бщие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</w:rPr>
              <w:t xml:space="preserve">карантинные </w:t>
            </w:r>
            <w:r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</w:rPr>
              <w:t>меры</w:t>
            </w:r>
          </w:p>
        </w:tc>
      </w:tr>
      <w:tr>
        <w:tc>
          <w:tcPr>
            <w:tcW w:w="3485" w:type="dxa"/>
          </w:tcPr>
          <w:p>
            <w:pPr>
              <w:pStyle w:val="12"/>
              <w:spacing w:line="192" w:lineRule="auto"/>
              <w:rPr>
                <w:lang w:val="ru-RU"/>
                <w:rFonts w:asciiTheme="minorHAnsi" w:eastAsiaTheme="minorHAnsi" w:hAnsiTheme="minorHAnsi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</w:rPr>
              <w:t>Обнародование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</w:rPr>
              <w:t xml:space="preserve"> и распространение свода карантинных мер</w:t>
            </w:r>
          </w:p>
          <w:p>
            <w:pPr>
              <w:pStyle w:val="12"/>
              <w:ind w:left="27" w:hanging="27"/>
              <w:spacing w:line="192" w:lineRule="auto"/>
              <w:rPr>
                <w:lang w:val="ru-RU"/>
                <w:rFonts w:asciiTheme="minorHAnsi" w:eastAsiaTheme="minorHAnsi" w:hAnsiTheme="minorHAnsi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Назначение и вступление в должность сотрудников, ответственных за соблюдение карантинных мер</w:t>
            </w:r>
          </w:p>
        </w:tc>
        <w:tc>
          <w:tcPr>
            <w:tcW w:w="3485" w:type="dxa"/>
          </w:tcPr>
          <w:p>
            <w:pPr>
              <w:pStyle w:val="12"/>
              <w:spacing w:line="192" w:lineRule="auto"/>
              <w:rPr>
                <w:lang w:val="ru-RU"/>
                <w:rFonts w:ascii="Times New Roman" w:eastAsiaTheme="minorHAnsi" w:hAnsi="Times New Roman"/>
                <w:color w:val="000000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Контроль посещений (электронный контроль посещений,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контрольный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звонок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перед входом в заведения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(Safe Call</w:t>
            </w:r>
            <w:r>
              <w:rPr>
                <w:lang w:val="ru-RU"/>
                <w:rFonts w:asciiTheme="minorHAnsi" w:eastAsiaTheme="minorHAnsi" w:hAnsiTheme="minorHAnsi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)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и др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.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)</w:t>
            </w:r>
          </w:p>
          <w:p>
            <w:pPr>
              <w:pStyle w:val="12"/>
              <w:spacing w:line="192" w:lineRule="auto"/>
              <w:rPr>
                <w:lang w:val="ru-RU"/>
                <w:rFonts w:asciiTheme="minorHAnsi" w:eastAsiaTheme="minorHAnsi" w:hAnsiTheme="minorHAnsi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Периодическое проветривание помещений 3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раза в день</w:t>
            </w:r>
          </w:p>
        </w:tc>
        <w:tc>
          <w:tcPr>
            <w:tcW w:w="3486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Theme="minorHAnsi" w:eastAsiaTheme="minorHAnsi" w:hAnsiTheme="minorHAnsi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Ношение масок в помещении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Theme="minorHAnsi" w:eastAsiaTheme="minorHAnsi" w:hAnsiTheme="minorHAnsi"/>
              </w:rPr>
            </w:pPr>
            <w:r>
              <w:rPr>
                <w:lang w:val="ru-RU"/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Дезинфекция не менее 1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Theme="minorHAnsi" w:hAnsi="Times New Roman"/>
                <w:b/>
                <w:bCs/>
                <w:w w:val="100"/>
                <w:sz w:val="20"/>
                <w:szCs w:val="20"/>
                <w:spacing w:val="-2"/>
              </w:rPr>
              <w:t>раза в день</w:t>
            </w:r>
          </w:p>
        </w:tc>
      </w:tr>
    </w:tbl>
    <w:p>
      <w:pPr>
        <w:wordWrap/>
        <w:spacing w:line="192" w:lineRule="auto"/>
        <w:rPr>
          <w:lang w:val="ru-RU"/>
          <w:rFonts w:eastAsiaTheme="minorHAnsi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>
        <w:tc>
          <w:tcPr>
            <w:tcW w:w="2689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аименование </w:t>
            </w:r>
            <w:r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учреждений</w:t>
            </w:r>
          </w:p>
        </w:tc>
        <w:tc>
          <w:tcPr>
            <w:tcW w:w="7767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арантинные меры</w:t>
            </w:r>
          </w:p>
        </w:tc>
      </w:tr>
      <w:tr>
        <w:tc>
          <w:tcPr>
            <w:tcW w:w="2689" w:type="dxa"/>
          </w:tcPr>
          <w:p>
            <w:pPr>
              <w:pStyle w:val="12"/>
              <w:spacing w:line="192" w:lineRule="auto"/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Развлекательные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заведения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pStyle w:val="12"/>
              <w:spacing w:line="192" w:lineRule="auto"/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</w:pP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(5 наименований)</w:t>
            </w:r>
          </w:p>
          <w:p>
            <w:pPr>
              <w:pStyle w:val="12"/>
              <w:ind w:left="27" w:hanging="5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="MS Gothic" w:hAnsi="Times New Roman" w:cs="MS Gothic"/>
                <w:b/>
                <w:bCs/>
                <w:color w:val="000000"/>
                <w:w w:val="100"/>
                <w:sz w:val="20"/>
                <w:szCs w:val="20"/>
              </w:rPr>
              <w:t>танцевальные клубы для пожилых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и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обычные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танцплощадки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(часы работы) до 24:00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(количество посетителей) ограничений нет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(категория клиентов) лица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прошедшие полный курс вакцинации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запрещен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)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предоставление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Караоке бары, караоке автоматы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Общественные бани и т.п.</w:t>
            </w:r>
          </w:p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Спортивные и тренажёрные залы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Велотреки, лодочный спорт, ипподромы</w:t>
            </w:r>
          </w:p>
          <w:p>
            <w:pPr>
              <w:pStyle w:val="12"/>
              <w:ind w:left="194" w:hanging="194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Казино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(количество посетителей) ограничений нет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(категория клиентов) лица, прошедшие полный курс вакцинации и др.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(прием пищи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) предоставление обязательно</w:t>
            </w:r>
          </w:p>
          <w:p>
            <w:pPr>
              <w:pStyle w:val="12"/>
              <w:ind w:left="323" w:hanging="28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к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рытые спо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ртивные сооружения) сняты ограничения на использование душевых, музыкальное сопровождение и скорость беговых дорожек. </w:t>
            </w:r>
            <w:r>
              <w:rPr>
                <w:lang w:val="ru-RU"/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4"/>
              </w:rPr>
              <w:t xml:space="preserve">адаптационный период в 2 недели с предоставлением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свидетельства о вакцинации, отрицательного результата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(для других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заведений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1 неделя)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lang w:val="ru-RU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Рестораны,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кафе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расстояние между столами 1м,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, установка перегородок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(категория клиентов)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ограничений нет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для не вакцинированных максимум 4 чел.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(прием пищи) возможен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)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jc w:val="both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Кинотеатры,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концертные залы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не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касается лиц, прошедших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вакцинацию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(категория клиентов)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(кинотеатры) для лиц, прошедших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вакцинацию прием пищи разрешен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jc w:val="both"/>
              <w:spacing w:line="192" w:lineRule="auto"/>
              <w:rPr>
                <w:lang w:val="ru-RU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Стадионы(посещение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спортивных мероприятий)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(количество 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размещение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до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50%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если все зрители прошли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вакцинацию, то ограничений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в размещении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нет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для прошедших полную вакцинацию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прием пищи разрешен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Ча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стные образовательные у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чреждения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«хагвоны»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и др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.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(если нет сидячих мест)</w:t>
            </w:r>
          </w:p>
          <w:p>
            <w:pPr>
              <w:pStyle w:val="1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Игральные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и компьютерные залы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Частные образовательные заведения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«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х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агвон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ы»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работают также 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1 по</w:t>
            </w:r>
            <w:r>
              <w:rPr>
                <w:lang w:val="ru-RU"/>
                <w:rFonts w:ascii="Times New Roman" w:eastAsia="맑은 고딕" w:hAnsi="Times New Roman" w:cs="맑은 고딕" w:hint="eastAsia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21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ноября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до 22:00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после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22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ноября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–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1чел.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а 4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㎡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после регистрации и получения разрешения на деятельность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(категория клиентов)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Открытые спортивные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площадк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и</w:t>
            </w:r>
          </w:p>
          <w:p>
            <w:pPr>
              <w:pStyle w:val="1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Магазины, супермаркеты, универмаги</w:t>
            </w:r>
          </w:p>
          <w:p>
            <w:pPr>
              <w:pStyle w:val="1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Музеи,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художественные и науч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ные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выставочные залы</w:t>
            </w:r>
          </w:p>
          <w:p>
            <w:pPr>
              <w:pStyle w:val="12"/>
              <w:ind w:left="194" w:hanging="194"/>
              <w:spacing w:line="192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Библиотеки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194" w:hanging="19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</w:rPr>
              <w:t>Хагвоны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(с сидячими местами)</w:t>
            </w:r>
          </w:p>
          <w:p>
            <w:pPr>
              <w:pStyle w:val="12"/>
              <w:ind w:left="194" w:hanging="19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Читальные залы,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учебные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кафе</w:t>
            </w:r>
          </w:p>
          <w:p>
            <w:pPr>
              <w:pStyle w:val="12"/>
              <w:ind w:left="194" w:hanging="194"/>
              <w:spacing w:line="192" w:lineRule="auto"/>
              <w:rPr>
                <w:lang w:val="ru-RU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Интернет-кафе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(Частные образовательные заведения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«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хагвон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ы»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работают также с 1 по</w:t>
            </w:r>
            <w:r>
              <w:rPr>
                <w:lang w:val="ru-RU"/>
                <w:rFonts w:ascii="Times New Roman" w:eastAsia="맑은 고딕" w:hAnsi="Times New Roman" w:cs="맑은 고딕" w:hint="eastAsia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21 ноября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до 22:00, после 22 ноября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–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при наличии перегородок – 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※ 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Хагвон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даже при наличии перегородок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если все посетители прошли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вакцинацию, то ограничений нет 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кроме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хагвонов и читальных залов)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(категория клиентов)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456" w:hanging="456"/>
              <w:spacing w:line="192" w:lineRule="auto"/>
              <w:rPr>
                <w:lang w:val="ru-RU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Интернет-кафе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прием пищи разрешен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при наличии перегородок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Парки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развлечений, аквапарки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(количество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до 50% 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(прием пищи)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 w:firstLineChars="50" w:firstLine="98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194" w:hanging="194"/>
              <w:spacing w:line="192" w:lineRule="auto"/>
              <w:rPr>
                <w:lang w:val="ru-RU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Экспозиции,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выставки</w:t>
            </w: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</w:p>
          <w:p>
            <w:pPr>
              <w:pStyle w:val="12"/>
              <w:ind w:left="104" w:hanging="10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в соответствии с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нижеприведенными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критериями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(совмещение критериев невозможно)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вне зависимости от числа вакцинированных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не более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100 человек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если все посетители прошли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полную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вакцинацию –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не более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500 человек</w:t>
            </w:r>
          </w:p>
          <w:p>
            <w:pPr>
              <w:pStyle w:val="12"/>
              <w:ind w:left="104" w:hanging="10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 xml:space="preserve">в качестве альтернативы можно применить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>устаревший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 xml:space="preserve"> критерий - 1человек на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8"/>
              </w:rPr>
              <w:t>6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8"/>
              </w:rPr>
              <w:t>㎡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8"/>
              </w:rPr>
              <w:t xml:space="preserve"> или отрицательный результат PCR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8"/>
              </w:rPr>
              <w:t xml:space="preserve">-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18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18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18"/>
              </w:rPr>
              <w:t>для всех сотрудников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wordWrap/>
              <w:jc w:val="left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kern w:val="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kern w:val="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kern w:val="0"/>
                <w:spacing w:val="-2"/>
              </w:rPr>
              <w:t xml:space="preserve">) </w:t>
            </w:r>
          </w:p>
          <w:p>
            <w:pPr>
              <w:ind w:firstLineChars="50" w:firstLine="98"/>
              <w:wordWrap/>
              <w:jc w:val="left"/>
              <w:spacing w:line="192" w:lineRule="auto"/>
              <w:rPr>
                <w:lang w:val="ru-RU"/>
                <w:rFonts w:ascii="Times New Roman" w:eastAsiaTheme="minorHAnsi" w:hAnsi="Times New Roman" w:cs="Times New Roman"/>
                <w:color w:val="00000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Международные конференции и научные съезды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wordWrap/>
              <w:jc w:val="left"/>
              <w:spacing w:line="192" w:lineRule="auto"/>
              <w:rPr>
                <w:lang w:val="ru-RU"/>
                <w:rFonts w:ascii="Times New Roman" w:eastAsiaTheme="minorHAnsi" w:hAnsi="Times New Roman" w:cs="Times New Roman"/>
                <w:color w:val="000000"/>
                <w:szCs w:val="20"/>
              </w:rPr>
            </w:pP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104" w:hanging="10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(размещение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) в соответствии с нижеприведенными критериями (совмещение критериев невозможно)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- вне зависимости от числа вакцинированных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не более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100 человек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- если все посетители прошли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вакцинацию –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не более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500 человек</w:t>
            </w:r>
          </w:p>
          <w:p>
            <w:pPr>
              <w:pStyle w:val="12"/>
              <w:ind w:left="104" w:hanging="104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※ (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Международные конференции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 xml:space="preserve">в качестве альтернативы можно применить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>устаревший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 xml:space="preserve"> критерий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>–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0"/>
              </w:rPr>
              <w:t>размещение с интервалом через два свободных места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Свадьбы,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торжества с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празднование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м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 xml:space="preserve"> год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ика ребенка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, панихиды</w:t>
            </w:r>
          </w:p>
          <w:p>
            <w:pPr>
              <w:wordWrap/>
              <w:jc w:val="left"/>
              <w:spacing w:line="192" w:lineRule="auto"/>
              <w:rPr>
                <w:lang w:val="ru-RU"/>
                <w:rFonts w:ascii="Times New Roman" w:eastAsiaTheme="minorHAnsi" w:hAnsi="Times New Roman" w:cs="Times New Roman"/>
                <w:color w:val="000000"/>
                <w:szCs w:val="20"/>
              </w:rPr>
            </w:pP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181" w:hanging="181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(размещение посетителей) 1человек на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4</w:t>
            </w:r>
            <w:r>
              <w:rPr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㎡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расстояние между столами 1м,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либо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размещение с интервалом в одно свободное место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или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установка перегородок 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 w:hint="eastAsia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(посетители) выб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рать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одно из нижеследующих критериев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(совмещение критериев невозможно)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-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вне зависимости от числа вакцинированных не более 100 человек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- если все посетители прошли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вакцинацию – не более 500 человек</w:t>
            </w:r>
          </w:p>
          <w:p>
            <w:pPr>
              <w:pStyle w:val="12"/>
              <w:ind w:left="181" w:hanging="181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※ 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Свадьбы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0"/>
              </w:rPr>
              <w:t>в качестве альтернативы можно применить устаревший критерий – 49 не вакцинированных + 201 вакцинированных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разрешен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· 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</w:p>
          <w:p>
            <w:pPr>
              <w:pStyle w:val="12"/>
              <w:ind w:leftChars="50" w:left="10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</w:p>
        </w:tc>
      </w:tr>
      <w:tr>
        <w:tc>
          <w:tcPr>
            <w:tcW w:w="2689" w:type="dxa"/>
          </w:tcPr>
          <w:p>
            <w:pPr>
              <w:pStyle w:val="12"/>
              <w:ind w:left="27" w:hanging="27"/>
              <w:spacing w:line="192" w:lineRule="auto"/>
              <w:rPr>
                <w:lang w:val="ru-RU"/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Times New Roman" w:eastAsiaTheme="minorEastAsia" w:hAnsi="Times New Roman" w:cs="Times New Roman"/>
                <w:b/>
                <w:bCs/>
                <w:w w:val="100"/>
                <w:sz w:val="20"/>
                <w:szCs w:val="20"/>
              </w:rPr>
              <w:t>Религиозные учреждения</w:t>
            </w:r>
          </w:p>
          <w:p>
            <w:pPr>
              <w:wordWrap/>
              <w:jc w:val="left"/>
              <w:spacing w:line="192" w:lineRule="auto"/>
              <w:rPr>
                <w:rFonts w:ascii="Times New Roman" w:eastAsiaTheme="minorHAnsi" w:hAnsi="Times New Roman" w:cs="Times New Roman"/>
                <w:color w:val="000000"/>
                <w:szCs w:val="20"/>
              </w:rPr>
            </w:pPr>
          </w:p>
        </w:tc>
        <w:tc>
          <w:tcPr>
            <w:tcW w:w="7767" w:type="dxa"/>
          </w:tcPr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</w:rPr>
              <w:t xml:space="preserve">(часы работы)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ограничений нет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(количество посетителей)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заполненность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до 50% 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※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если все зрители прошли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вакцинацию, то ограничений нет</w:t>
            </w:r>
          </w:p>
          <w:p>
            <w:pPr>
              <w:pStyle w:val="12"/>
              <w:ind w:left="1746" w:hanging="1746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(категория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посетителей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>) ограничений нет</w:t>
            </w:r>
          </w:p>
          <w:p>
            <w:pPr>
              <w:pStyle w:val="12"/>
              <w:ind w:left="220" w:hanging="220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(прием пищи)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  <w:spacing w:val="-2"/>
              </w:rPr>
              <w:t>запрещен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32" w:hanging="32"/>
              <w:spacing w:line="192" w:lineRule="auto"/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· (свидетельство о вакцинации, отрицательный результат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теста на коронавирус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>не обязательно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  <w:spacing w:val="-2"/>
              </w:rPr>
              <w:t xml:space="preserve"> </w:t>
            </w:r>
          </w:p>
          <w:p>
            <w:pPr>
              <w:pStyle w:val="12"/>
              <w:ind w:left="32" w:hanging="32"/>
              <w:spacing w:line="192" w:lineRule="auto"/>
              <w:rPr>
                <w:lang w:val="ru-RU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Прочее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молитвы в голос запрещены, для обычных мероприятий за исключением периодических богослужений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  <w:spacing w:val="-2"/>
              </w:rPr>
              <w:t>применяются стандартные карантинные меры</w:t>
            </w:r>
            <w:r>
              <w:rPr>
                <w:lang w:val="ru-RU"/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если все участники прошли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полную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>вакцинацию разрешены домашни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е 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00"/>
                <w:w w:val="100"/>
                <w:sz w:val="20"/>
                <w:szCs w:val="20"/>
              </w:rPr>
              <w:t>собрания</w:t>
            </w: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w w:val="100"/>
                <w:sz w:val="20"/>
                <w:szCs w:val="20"/>
              </w:rPr>
              <w:t xml:space="preserve"> и участие в церковном хоре</w:t>
            </w:r>
          </w:p>
        </w:tc>
      </w:tr>
    </w:tbl>
    <w:p>
      <w:pPr>
        <w:pStyle w:val="12"/>
        <w:ind w:left="194" w:hanging="194"/>
        <w:jc w:val="both"/>
        <w:spacing w:before="100" w:line="192" w:lineRule="auto"/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</w:pP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*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прошедшие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полных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курс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вакцинации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и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др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>.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>: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прошедшие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полны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й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курс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вакцинации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16"/>
        </w:rPr>
        <w:t>прошедшие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16"/>
        </w:rPr>
        <w:t xml:space="preserve"> 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>PCR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– 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тест</w:t>
      </w:r>
      <w:r>
        <w:rPr>
          <w:lang w:val="ru-RU"/>
          <w:rFonts w:ascii="HancomEQN" w:eastAsia="HancomEQN" w:hAnsi="Times New Roman" w:cs="Times New Roman" w:hint="eastAsia"/>
          <w:color w:val="000000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на</w:t>
      </w:r>
      <w:r>
        <w:rPr>
          <w:lang w:val="ru-RU"/>
          <w:rFonts w:ascii="HancomEQN" w:eastAsia="HancomEQN" w:hAnsi="Times New Roman" w:cs="Times New Roman" w:hint="eastAsia"/>
          <w:color w:val="000000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коронавирус</w:t>
      </w:r>
      <w:r>
        <w:rPr>
          <w:lang w:val="ru-RU"/>
          <w:rFonts w:ascii="HancomEQN" w:eastAsia="HancomEQN" w:hAnsi="Times New Roman" w:cs="Times New Roman" w:hint="eastAsia"/>
          <w:color w:val="000000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и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получившие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отрицательные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результаты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(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в</w:t>
      </w:r>
      <w:r>
        <w:rPr>
          <w:lang w:val="ru-RU"/>
          <w:rFonts w:ascii="HancomEQN" w:eastAsia="HancomEQN" w:hAnsi="Times New Roman" w:cs="Times New Roman" w:hint="eastAsia"/>
          <w:color w:val="000000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течение</w:t>
      </w:r>
      <w:r>
        <w:rPr>
          <w:lang w:val="ru-RU"/>
          <w:rFonts w:ascii="HancomEQN" w:eastAsia="HancomEQN" w:hAnsi="Times New Roman" w:cs="Times New Roman" w:hint="eastAsia"/>
          <w:color w:val="000000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48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часов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),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до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18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ле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т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переболевшие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color w:val="000000"/>
          <w:w w:val="100"/>
          <w:sz w:val="20"/>
          <w:szCs w:val="20"/>
          <w:spacing w:val="-24"/>
        </w:rPr>
        <w:t>коронавирусом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лица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,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для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которых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по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состоянию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здоровья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вакцинация</w:t>
      </w:r>
      <w:r>
        <w:rPr>
          <w:lang w:val="ru-RU"/>
          <w:rFonts w:ascii="HancomEQN" w:eastAsia="HancomEQN" w:hAnsi="Times New Roman" w:cs="Times New Roman" w:hint="eastAsia"/>
          <w:w w:val="100"/>
          <w:sz w:val="20"/>
          <w:szCs w:val="20"/>
          <w:spacing w:val="-24"/>
        </w:rPr>
        <w:t xml:space="preserve"> 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невозможна</w:t>
      </w:r>
      <w:r>
        <w:rPr>
          <w:lang w:val="ru-RU"/>
          <w:rFonts w:ascii="Cambria" w:eastAsia="HancomEQN" w:hAnsi="Cambria" w:cs="Cambria"/>
          <w:w w:val="100"/>
          <w:sz w:val="20"/>
          <w:szCs w:val="20"/>
          <w:spacing w:val="-24"/>
        </w:rPr>
        <w:t>.</w:t>
      </w:r>
    </w:p>
    <w:p>
      <w:pPr>
        <w:pStyle w:val="12"/>
        <w:ind w:left="194" w:hanging="194"/>
        <w:jc w:val="both"/>
        <w:spacing w:before="100" w:line="192" w:lineRule="auto"/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</w:pP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** 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Запрет на прием пищи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: 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запрещено все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,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 кроме воды и безалкогольных напитков, для </w:t>
      </w:r>
      <w:r>
        <w:rPr>
          <w:lang w:val="ru-RU"/>
          <w:rFonts w:ascii="Times New Roman" w:eastAsia="맑은 고딕" w:hAnsi="Times New Roman" w:cs="Times New Roman"/>
          <w:color w:val="000000"/>
          <w:w w:val="100"/>
          <w:sz w:val="20"/>
          <w:szCs w:val="20"/>
        </w:rPr>
        <w:t>заведений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 с ограничени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я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м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и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 в виде исключения разрешается прием пищи в помещениях непосредственно для этого предназначенных (буфеты, кафетерии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 xml:space="preserve"> и др.</w:t>
      </w:r>
      <w:r>
        <w:rPr>
          <w:lang w:val="ru-RU"/>
          <w:rFonts w:ascii="Times New Roman" w:eastAsia="맑은 고딕" w:hAnsi="Times New Roman" w:cs="Times New Roman"/>
          <w:w w:val="100"/>
          <w:sz w:val="20"/>
          <w:szCs w:val="20"/>
        </w:rPr>
        <w:t>)</w:t>
      </w:r>
    </w:p>
    <w:p>
      <w:pPr>
        <w:pStyle w:val="12"/>
        <w:ind w:left="194" w:hanging="194"/>
        <w:jc w:val="both"/>
        <w:spacing w:before="100" w:line="192" w:lineRule="auto"/>
        <w:rPr>
          <w:lang w:val="ru-RU"/>
          <w:rFonts w:ascii="Times New Roman" w:eastAsiaTheme="minorHAnsi" w:hAnsi="Times New Roman" w:cs="Times New Roman"/>
          <w:b/>
          <w:bCs/>
        </w:rPr>
      </w:pPr>
    </w:p>
    <w:p>
      <w:pPr>
        <w:wordWrap/>
        <w:jc w:val="right"/>
        <w:spacing w:line="192" w:lineRule="auto"/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&lt;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Данный 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перевод 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предоставлен колл-центром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Данури 1577-1366</w:t>
      </w:r>
      <w:r>
        <w:rPr>
          <w:lang w:val="ru-RU"/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ancomEQN">
    <w:panose1 w:val="02000000000000000000"/>
    <w:family w:val="auto"/>
    <w:charset w:val="81"/>
    <w:notTrueType w:val="false"/>
    <w:sig w:usb0="800002A7" w:usb1="19917CF9" w:usb2="00000001" w:usb3="00000001" w:csb0="20080000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pPr>
      <w:wordWrap/>
      <w:jc w:val="left"/>
      <w:spacing w:after="0" w:line="288" w:lineRule="auto"/>
      <w:textAlignment w:val="baseline"/>
    </w:pPr>
    <w:rPr>
      <w:rFonts w:ascii="맑은 고딕" w:eastAsia="굴림" w:hAnsi="굴림" w:cs="굴림"/>
      <w:color w:val="000000"/>
      <w:w w:val="95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2021-11-01T04:39:00Z</dcterms:created>
  <dcterms:modified xsi:type="dcterms:W3CDTF">2021-11-02T04:13:24Z</dcterms:modified>
  <cp:version>1000.0100.01</cp:version>
</cp:coreProperties>
</file>